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155E75">
      <w:pPr>
        <w:pStyle w:val="3"/>
        <w:spacing w:before="91" w:line="222" w:lineRule="auto"/>
        <w:ind w:left="40"/>
        <w:jc w:val="center"/>
        <w:outlineLvl w:val="0"/>
        <w:rPr>
          <w:rFonts w:hint="eastAsia" w:ascii="黑体" w:hAnsi="黑体" w:eastAsia="黑体" w:cs="黑体"/>
          <w:b/>
          <w:bCs/>
          <w:spacing w:val="-5"/>
          <w:sz w:val="36"/>
          <w:szCs w:val="36"/>
          <w:lang w:val="en-US" w:eastAsia="zh-CN"/>
        </w:rPr>
      </w:pPr>
      <w:bookmarkStart w:id="0" w:name="_Toc1164"/>
      <w:r>
        <w:rPr>
          <w:rFonts w:hint="eastAsia" w:ascii="黑体" w:hAnsi="黑体" w:eastAsia="黑体" w:cs="黑体"/>
          <w:b/>
          <w:bCs/>
          <w:spacing w:val="-5"/>
          <w:sz w:val="36"/>
          <w:szCs w:val="36"/>
          <w:lang w:val="en-US" w:eastAsia="zh-CN"/>
        </w:rPr>
        <w:t>数据溯源管理</w:t>
      </w:r>
      <w:bookmarkEnd w:id="0"/>
    </w:p>
    <w:p w14:paraId="69D10A9C">
      <w:pPr>
        <w:spacing w:line="338" w:lineRule="auto"/>
        <w:rPr>
          <w:rFonts w:ascii="Arial"/>
          <w:sz w:val="21"/>
        </w:rPr>
      </w:pPr>
    </w:p>
    <w:p w14:paraId="6C83A319">
      <w:pPr>
        <w:keepNext w:val="0"/>
        <w:keepLines w:val="0"/>
        <w:pageBreakBefore w:val="0"/>
        <w:widowControl/>
        <w:numPr>
          <w:ilvl w:val="0"/>
          <w:numId w:val="1"/>
        </w:numPr>
        <w:tabs>
          <w:tab w:val="left" w:pos="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422" w:leftChars="0" w:hanging="422" w:hangingChars="151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溯源申请人应为研究者和已授权的CRA或CRC或稽查人员，提交药物临床试验溯源申请表（附件1）至机构办，机构办人员审核溯源申请人的简历、身份证复印件、GCP证书和委派函/稽查证明。</w:t>
      </w:r>
    </w:p>
    <w:p w14:paraId="6DF9C27C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425" w:hanging="495" w:hangingChars="177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溯源对象应为已签署知情</w:t>
      </w:r>
      <w:bookmarkStart w:id="1" w:name="_GoBack"/>
      <w:bookmarkEnd w:id="1"/>
      <w:r>
        <w:rPr>
          <w:rFonts w:hint="eastAsia" w:ascii="仿宋" w:hAnsi="仿宋" w:eastAsia="仿宋" w:cs="仿宋"/>
          <w:sz w:val="28"/>
          <w:szCs w:val="28"/>
        </w:rPr>
        <w:t>同意书的受试者。</w:t>
      </w:r>
    </w:p>
    <w:p w14:paraId="6DE1AD55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448" w:leftChars="0" w:hanging="448" w:hangingChars="160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溯源查阅申请表里查阅时间是需要查阅的病历起止日期，查阅内容里填写受试者筛选号或随机号、就诊及用药记录等。</w:t>
      </w:r>
    </w:p>
    <w:p w14:paraId="6C4AE2F9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425" w:hanging="495" w:hangingChars="177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溯源人将溯源申请递交到机构办公室完成溯源并记录（附件2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）。</w:t>
      </w:r>
    </w:p>
    <w:p w14:paraId="2B61496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7F64409"/>
    <w:multiLevelType w:val="singleLevel"/>
    <w:tmpl w:val="E7F64409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1FC51470"/>
    <w:rsid w:val="3F90435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link w:val="6"/>
    <w:unhideWhenUsed/>
    <w:qFormat/>
    <w:uiPriority w:val="0"/>
    <w:pPr>
      <w:keepNext/>
      <w:keepLines/>
      <w:spacing w:beforeLines="0" w:beforeAutospacing="0" w:afterLines="0" w:afterAutospacing="0" w:line="300" w:lineRule="auto"/>
      <w:jc w:val="left"/>
      <w:outlineLvl w:val="1"/>
    </w:pPr>
    <w:rPr>
      <w:rFonts w:ascii="Arial" w:hAnsi="Arial" w:eastAsia="黑体"/>
      <w:sz w:val="3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character" w:customStyle="1" w:styleId="6">
    <w:name w:val="标题 2 Char"/>
    <w:link w:val="2"/>
    <w:qFormat/>
    <w:uiPriority w:val="0"/>
    <w:rPr>
      <w:rFonts w:ascii="Arial" w:hAnsi="Arial" w:eastAsia="黑体"/>
      <w:sz w:val="3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zhaoxinlei</dc:creator>
  <cp:lastModifiedBy>李欣欣</cp:lastModifiedBy>
  <dcterms:modified xsi:type="dcterms:W3CDTF">2025-09-02T05:50:33Z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eyJoZGlkIjoiYWFjOTg4NmMwZGQzZWJkMjU0MWJiZWQwNmRhOTYxMDQiLCJ1c2VySWQiOiI0NDAwNjI5NjEifQ==</vt:lpwstr>
  </property>
  <property fmtid="{D5CDD505-2E9C-101B-9397-08002B2CF9AE}" pid="4" name="ICV">
    <vt:lpwstr>1F534735D01D431DA4C6EA4530D4772F_12</vt:lpwstr>
  </property>
</Properties>
</file>